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0F7509" w:rsidRDefault="002F4302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易方达基金</w:t>
      </w:r>
      <w:r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管理有限公司关于</w:t>
      </w:r>
      <w:r w:rsidR="00BE35B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易方达天天增利货币市场基金在</w:t>
      </w:r>
      <w:r w:rsidR="00103A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非</w:t>
      </w:r>
      <w:r w:rsidR="00103AB7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直销销售机构</w:t>
      </w:r>
      <w:r w:rsidR="004F062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</w:t>
      </w:r>
      <w:r w:rsidR="004F062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申购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大额</w:t>
      </w:r>
      <w:r w:rsidR="008472DB" w:rsidRPr="000F750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转换转入业务</w:t>
      </w:r>
      <w:r w:rsidR="004F062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金额</w:t>
      </w:r>
      <w:r w:rsidR="004F062F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限制</w:t>
      </w:r>
      <w:r w:rsidR="008472DB" w:rsidRPr="000F750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D327FA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公告送出日期：2018年</w:t>
      </w:r>
      <w:r w:rsidR="004F062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103AB7">
        <w:rPr>
          <w:rFonts w:asciiTheme="minorEastAsia" w:eastAsiaTheme="minorEastAsia" w:hAnsiTheme="minorEastAsia"/>
          <w:b/>
          <w:color w:val="000000"/>
          <w:sz w:val="24"/>
          <w:szCs w:val="24"/>
        </w:rPr>
        <w:t>29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0F7509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="00D327FA"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410"/>
        <w:gridCol w:w="2268"/>
        <w:gridCol w:w="2186"/>
      </w:tblGrid>
      <w:tr w:rsidR="00FA1E5C" w:rsidRPr="00FA1E5C" w:rsidTr="00763886">
        <w:trPr>
          <w:jc w:val="center"/>
        </w:trPr>
        <w:tc>
          <w:tcPr>
            <w:tcW w:w="2244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易方达天天增利货币市场基金</w:t>
            </w:r>
          </w:p>
        </w:tc>
      </w:tr>
      <w:tr w:rsidR="00FA1E5C" w:rsidRPr="00FA1E5C" w:rsidTr="00B34509">
        <w:trPr>
          <w:jc w:val="center"/>
        </w:trPr>
        <w:tc>
          <w:tcPr>
            <w:tcW w:w="2244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易方达天天增利货币</w:t>
            </w:r>
          </w:p>
        </w:tc>
      </w:tr>
      <w:tr w:rsidR="00FA1E5C" w:rsidRPr="00FA1E5C" w:rsidTr="0021790E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000704</w:t>
            </w:r>
          </w:p>
        </w:tc>
      </w:tr>
      <w:tr w:rsidR="00FA1E5C" w:rsidRPr="00FA1E5C" w:rsidTr="007F38CD">
        <w:trPr>
          <w:jc w:val="center"/>
        </w:trPr>
        <w:tc>
          <w:tcPr>
            <w:tcW w:w="2244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FA1E5C" w:rsidRPr="00FA1E5C" w:rsidTr="00F63BCA">
        <w:trPr>
          <w:jc w:val="center"/>
        </w:trPr>
        <w:tc>
          <w:tcPr>
            <w:tcW w:w="2244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《易方达天天增利货币市场基金基金合同》、《易方达天天增利货币市场基金更新的招募说明书》</w:t>
            </w:r>
          </w:p>
        </w:tc>
      </w:tr>
      <w:tr w:rsidR="00FA1E5C" w:rsidRPr="00FA1E5C" w:rsidTr="00BE35BE">
        <w:trPr>
          <w:jc w:val="center"/>
        </w:trPr>
        <w:tc>
          <w:tcPr>
            <w:tcW w:w="2244" w:type="dxa"/>
            <w:vMerge w:val="restart"/>
            <w:vAlign w:val="center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410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 w:rsidR="00BE35BE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申购起始日</w:t>
            </w:r>
          </w:p>
        </w:tc>
        <w:tc>
          <w:tcPr>
            <w:tcW w:w="4454" w:type="dxa"/>
            <w:gridSpan w:val="2"/>
            <w:vAlign w:val="center"/>
          </w:tcPr>
          <w:p w:rsidR="00FA1E5C" w:rsidRPr="000F7509" w:rsidRDefault="00FA1E5C" w:rsidP="004F062F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 w:hint="eastAsia"/>
                <w:sz w:val="24"/>
                <w:szCs w:val="24"/>
              </w:rPr>
              <w:t>2018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4F062F"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103AB7">
              <w:rPr>
                <w:rFonts w:eastAsia="宋体"/>
                <w:sz w:val="24"/>
                <w:szCs w:val="24"/>
              </w:rPr>
              <w:t>30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1E5C" w:rsidRPr="00FA1E5C" w:rsidTr="00BE35BE">
        <w:trPr>
          <w:jc w:val="center"/>
        </w:trPr>
        <w:tc>
          <w:tcPr>
            <w:tcW w:w="2244" w:type="dxa"/>
            <w:vMerge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 w:rsidR="00BE35BE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转换转入起始日</w:t>
            </w:r>
          </w:p>
        </w:tc>
        <w:tc>
          <w:tcPr>
            <w:tcW w:w="4454" w:type="dxa"/>
            <w:gridSpan w:val="2"/>
            <w:vAlign w:val="center"/>
          </w:tcPr>
          <w:p w:rsidR="00FA1E5C" w:rsidRPr="000F7509" w:rsidRDefault="00FA1E5C" w:rsidP="004F062F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2018</w:t>
            </w:r>
            <w:r w:rsidRPr="000F7509">
              <w:rPr>
                <w:rFonts w:eastAsia="宋体"/>
                <w:sz w:val="24"/>
                <w:szCs w:val="24"/>
              </w:rPr>
              <w:t>年</w:t>
            </w:r>
            <w:r w:rsidR="004F062F"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/>
                <w:sz w:val="24"/>
                <w:szCs w:val="24"/>
              </w:rPr>
              <w:t>月</w:t>
            </w:r>
            <w:r w:rsidR="00103AB7">
              <w:rPr>
                <w:rFonts w:eastAsia="宋体"/>
                <w:sz w:val="24"/>
                <w:szCs w:val="24"/>
              </w:rPr>
              <w:t>30</w:t>
            </w:r>
            <w:r w:rsidRPr="000F7509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FA1E5C" w:rsidRPr="00FA1E5C" w:rsidTr="00BE35BE">
        <w:trPr>
          <w:jc w:val="center"/>
        </w:trPr>
        <w:tc>
          <w:tcPr>
            <w:tcW w:w="2244" w:type="dxa"/>
            <w:vMerge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1E5C" w:rsidRPr="000F7509" w:rsidRDefault="00BE35BE" w:rsidP="00DC7903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暂停大额</w:t>
            </w:r>
            <w:r w:rsidR="00FA1E5C"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 w:hint="eastAsia"/>
                <w:sz w:val="24"/>
                <w:szCs w:val="24"/>
              </w:rPr>
              <w:t>、大额</w:t>
            </w:r>
            <w:r>
              <w:rPr>
                <w:rFonts w:eastAsia="宋体"/>
                <w:sz w:val="24"/>
                <w:szCs w:val="24"/>
              </w:rPr>
              <w:t>转换转入</w:t>
            </w:r>
            <w:r w:rsidR="00FA1E5C" w:rsidRPr="000F7509">
              <w:rPr>
                <w:rFonts w:eastAsia="宋体"/>
                <w:sz w:val="24"/>
                <w:szCs w:val="24"/>
              </w:rPr>
              <w:t>的原因说明</w:t>
            </w:r>
          </w:p>
        </w:tc>
        <w:tc>
          <w:tcPr>
            <w:tcW w:w="4454" w:type="dxa"/>
            <w:gridSpan w:val="2"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为了保证基金的平稳运作，保护基金份额持有人利益</w:t>
            </w:r>
          </w:p>
        </w:tc>
      </w:tr>
      <w:tr w:rsidR="00D33E60" w:rsidRPr="00FA1E5C" w:rsidTr="00BE35BE">
        <w:trPr>
          <w:jc w:val="center"/>
        </w:trPr>
        <w:tc>
          <w:tcPr>
            <w:tcW w:w="4654" w:type="dxa"/>
            <w:gridSpan w:val="2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易方达天天增利货币</w:t>
            </w:r>
            <w:r w:rsidRPr="000F7509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2186" w:type="dxa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易方达天天增利货币</w:t>
            </w:r>
            <w:r w:rsidRPr="000F7509">
              <w:rPr>
                <w:rFonts w:eastAsia="宋体"/>
                <w:sz w:val="24"/>
                <w:szCs w:val="24"/>
              </w:rPr>
              <w:t>B</w:t>
            </w:r>
          </w:p>
        </w:tc>
      </w:tr>
      <w:tr w:rsidR="00D33E60" w:rsidRPr="00FA1E5C" w:rsidTr="00BE35BE">
        <w:trPr>
          <w:jc w:val="center"/>
        </w:trPr>
        <w:tc>
          <w:tcPr>
            <w:tcW w:w="4654" w:type="dxa"/>
            <w:gridSpan w:val="2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000704</w:t>
            </w:r>
          </w:p>
        </w:tc>
        <w:tc>
          <w:tcPr>
            <w:tcW w:w="2186" w:type="dxa"/>
            <w:vAlign w:val="center"/>
          </w:tcPr>
          <w:p w:rsidR="00D33E60" w:rsidRPr="000F7509" w:rsidRDefault="00D33E6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000705</w:t>
            </w:r>
          </w:p>
        </w:tc>
      </w:tr>
      <w:tr w:rsidR="00BA6967" w:rsidRPr="00FA1E5C" w:rsidTr="00BE35BE">
        <w:trPr>
          <w:trHeight w:val="415"/>
          <w:jc w:val="center"/>
        </w:trPr>
        <w:tc>
          <w:tcPr>
            <w:tcW w:w="4654" w:type="dxa"/>
            <w:gridSpan w:val="2"/>
          </w:tcPr>
          <w:p w:rsidR="00BA6967" w:rsidRPr="000F7509" w:rsidRDefault="002655F3" w:rsidP="00BE35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该分级基金是否暂停大额申购、大额转换转入</w:t>
            </w:r>
          </w:p>
        </w:tc>
        <w:tc>
          <w:tcPr>
            <w:tcW w:w="2268" w:type="dxa"/>
            <w:vAlign w:val="center"/>
          </w:tcPr>
          <w:p w:rsidR="00BA6967" w:rsidRPr="000F7509" w:rsidRDefault="00BA6967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186" w:type="dxa"/>
            <w:vAlign w:val="center"/>
          </w:tcPr>
          <w:p w:rsidR="00BA6967" w:rsidRPr="000F7509" w:rsidRDefault="00BA6967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  <w:tr w:rsidR="00BE35BE" w:rsidRPr="00FA1E5C" w:rsidTr="00BE35BE">
        <w:trPr>
          <w:jc w:val="center"/>
        </w:trPr>
        <w:tc>
          <w:tcPr>
            <w:tcW w:w="4654" w:type="dxa"/>
            <w:gridSpan w:val="2"/>
          </w:tcPr>
          <w:p w:rsidR="00BE35BE" w:rsidRPr="000F7509" w:rsidRDefault="00BE35BE" w:rsidP="00BE35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下属分级基金的限制申购金额（单位：</w:t>
            </w:r>
            <w:r>
              <w:rPr>
                <w:rFonts w:eastAsia="宋体" w:hint="eastAsia"/>
                <w:sz w:val="24"/>
                <w:szCs w:val="24"/>
              </w:rPr>
              <w:t>元</w:t>
            </w:r>
            <w:r w:rsidRPr="000F7509">
              <w:rPr>
                <w:rFonts w:eastAsia="宋体"/>
                <w:sz w:val="24"/>
                <w:szCs w:val="24"/>
              </w:rPr>
              <w:t xml:space="preserve"> </w:t>
            </w:r>
            <w:r w:rsidRPr="000F7509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BE35BE" w:rsidRPr="000F7509" w:rsidRDefault="007B7890" w:rsidP="00BE35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  <w:r w:rsidR="00BE35BE">
              <w:rPr>
                <w:rFonts w:eastAsia="宋体"/>
                <w:sz w:val="24"/>
                <w:szCs w:val="24"/>
              </w:rPr>
              <w:t>,000</w:t>
            </w:r>
            <w:r w:rsidR="00BE35BE">
              <w:rPr>
                <w:rFonts w:eastAsia="宋体" w:hint="eastAsia"/>
                <w:sz w:val="24"/>
                <w:szCs w:val="24"/>
              </w:rPr>
              <w:t>,</w:t>
            </w:r>
            <w:r w:rsidR="00BE35BE">
              <w:rPr>
                <w:rFonts w:eastAsia="宋体"/>
                <w:sz w:val="24"/>
                <w:szCs w:val="24"/>
              </w:rPr>
              <w:t>000</w:t>
            </w:r>
            <w:r w:rsidR="00373A88">
              <w:rPr>
                <w:rFonts w:eastAsia="宋体"/>
                <w:sz w:val="24"/>
                <w:szCs w:val="24"/>
              </w:rPr>
              <w:t>.00</w:t>
            </w:r>
          </w:p>
        </w:tc>
        <w:tc>
          <w:tcPr>
            <w:tcW w:w="2186" w:type="dxa"/>
            <w:vAlign w:val="center"/>
          </w:tcPr>
          <w:p w:rsidR="00BE35BE" w:rsidRPr="000F7509" w:rsidRDefault="007B7890" w:rsidP="00BE35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  <w:r w:rsidR="00BE35BE">
              <w:rPr>
                <w:rFonts w:eastAsia="宋体"/>
                <w:sz w:val="24"/>
                <w:szCs w:val="24"/>
              </w:rPr>
              <w:t>,000</w:t>
            </w:r>
            <w:r w:rsidR="00BE35BE">
              <w:rPr>
                <w:rFonts w:eastAsia="宋体" w:hint="eastAsia"/>
                <w:sz w:val="24"/>
                <w:szCs w:val="24"/>
              </w:rPr>
              <w:t>,</w:t>
            </w:r>
            <w:r w:rsidR="00BE35BE">
              <w:rPr>
                <w:rFonts w:eastAsia="宋体"/>
                <w:sz w:val="24"/>
                <w:szCs w:val="24"/>
              </w:rPr>
              <w:t>000</w:t>
            </w:r>
            <w:r w:rsidR="00373A88">
              <w:rPr>
                <w:rFonts w:eastAsia="宋体"/>
                <w:sz w:val="24"/>
                <w:szCs w:val="24"/>
              </w:rPr>
              <w:t>.00</w:t>
            </w:r>
          </w:p>
        </w:tc>
      </w:tr>
      <w:tr w:rsidR="00BE35BE" w:rsidRPr="00FA1E5C" w:rsidTr="00BE35BE">
        <w:trPr>
          <w:jc w:val="center"/>
        </w:trPr>
        <w:tc>
          <w:tcPr>
            <w:tcW w:w="4654" w:type="dxa"/>
            <w:gridSpan w:val="2"/>
          </w:tcPr>
          <w:p w:rsidR="00BE35BE" w:rsidRPr="000F7509" w:rsidRDefault="00BE35BE" w:rsidP="00BE35B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下属分级基金的限制转换转入金额（单位：</w:t>
            </w:r>
            <w:r w:rsidRPr="000F7509"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元</w:t>
            </w:r>
            <w:r w:rsidRPr="000F7509"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BE35BE" w:rsidRPr="000F7509" w:rsidRDefault="007B7890" w:rsidP="00BE35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  <w:r w:rsidR="00BE35BE">
              <w:rPr>
                <w:rFonts w:eastAsia="宋体"/>
                <w:sz w:val="24"/>
                <w:szCs w:val="24"/>
              </w:rPr>
              <w:t>,000</w:t>
            </w:r>
            <w:r w:rsidR="00BE35BE">
              <w:rPr>
                <w:rFonts w:eastAsia="宋体" w:hint="eastAsia"/>
                <w:sz w:val="24"/>
                <w:szCs w:val="24"/>
              </w:rPr>
              <w:t>,</w:t>
            </w:r>
            <w:r w:rsidR="00BE35BE">
              <w:rPr>
                <w:rFonts w:eastAsia="宋体"/>
                <w:sz w:val="24"/>
                <w:szCs w:val="24"/>
              </w:rPr>
              <w:t>000</w:t>
            </w:r>
            <w:r w:rsidR="00373A88">
              <w:rPr>
                <w:rFonts w:eastAsia="宋体"/>
                <w:sz w:val="24"/>
                <w:szCs w:val="24"/>
              </w:rPr>
              <w:t>.00</w:t>
            </w:r>
          </w:p>
        </w:tc>
        <w:tc>
          <w:tcPr>
            <w:tcW w:w="2186" w:type="dxa"/>
            <w:vAlign w:val="center"/>
          </w:tcPr>
          <w:p w:rsidR="00BE35BE" w:rsidRPr="000F7509" w:rsidRDefault="007B7890" w:rsidP="00BE35B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  <w:r w:rsidR="00BE35BE">
              <w:rPr>
                <w:rFonts w:eastAsia="宋体"/>
                <w:sz w:val="24"/>
                <w:szCs w:val="24"/>
              </w:rPr>
              <w:t>,000</w:t>
            </w:r>
            <w:r w:rsidR="00BE35BE">
              <w:rPr>
                <w:rFonts w:eastAsia="宋体" w:hint="eastAsia"/>
                <w:sz w:val="24"/>
                <w:szCs w:val="24"/>
              </w:rPr>
              <w:t>,</w:t>
            </w:r>
            <w:r w:rsidR="00BE35BE">
              <w:rPr>
                <w:rFonts w:eastAsia="宋体"/>
                <w:sz w:val="24"/>
                <w:szCs w:val="24"/>
              </w:rPr>
              <w:t>000</w:t>
            </w:r>
            <w:r w:rsidR="00373A88">
              <w:rPr>
                <w:rFonts w:eastAsia="宋体"/>
                <w:sz w:val="24"/>
                <w:szCs w:val="24"/>
              </w:rPr>
              <w:t>.00</w:t>
            </w:r>
          </w:p>
        </w:tc>
      </w:tr>
    </w:tbl>
    <w:p w:rsidR="00D327FA" w:rsidRPr="000F7509" w:rsidRDefault="002655F3" w:rsidP="006335D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根据法律法规和基金合同的相关规定，</w:t>
      </w:r>
      <w:r w:rsidR="004F062F">
        <w:rPr>
          <w:rFonts w:asciiTheme="minorEastAsia" w:eastAsiaTheme="minorEastAsia" w:hAnsiTheme="minorEastAsia" w:hint="eastAsia"/>
          <w:color w:val="000000"/>
          <w:sz w:val="24"/>
          <w:szCs w:val="24"/>
        </w:rPr>
        <w:t>自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2018年</w:t>
      </w:r>
      <w:r w:rsidR="00BD462F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BD462F">
        <w:rPr>
          <w:rFonts w:asciiTheme="minorEastAsia" w:eastAsiaTheme="minorEastAsia" w:hAnsiTheme="minorEastAsia"/>
          <w:color w:val="000000"/>
          <w:sz w:val="24"/>
          <w:szCs w:val="24"/>
        </w:rPr>
        <w:t>30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日起</w:t>
      </w:r>
      <w:r w:rsidR="004F062F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586526" w:rsidRPr="00586526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易方达基金管理有限公司（以下简称“本公司”）将易方达天天增利货币市场基金（以下简称“本基金”）A类份额和B 类份额在本基金非直销销售机构单日单个基金账户累计申购（含定期定额投资及转换转入，下同）的限制金额由不应超过2000万元调整为不应超过500万元。</w:t>
      </w:r>
      <w:r w:rsidR="00B81DA8" w:rsidRPr="00FD225A">
        <w:rPr>
          <w:rFonts w:asciiTheme="minorEastAsia" w:eastAsiaTheme="minorEastAsia" w:hAnsiTheme="minorEastAsia"/>
          <w:sz w:val="24"/>
          <w:szCs w:val="24"/>
        </w:rPr>
        <w:t>如单日单个基金账户单笔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申购本基金A类基金份额或B类基金份额的金额超过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00万元（不含），则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00万元确认申购成功，超过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00万元（不含）的部分将确认失败；如单日单个基金账户多笔累计申购本基金A类基金份额的金额超过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00万元（不含）或单日单个基金账户多笔累计申购本基金B类基金份额的金额超过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00万元（不含），则对该类基金份额的申请按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照申请金额从大到小排序，基金管理人将逐笔累加至该类份额不超过</w:t>
      </w:r>
      <w:r w:rsidR="007B7890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B81DA8">
        <w:rPr>
          <w:rFonts w:asciiTheme="minorEastAsia" w:eastAsiaTheme="minorEastAsia" w:hAnsiTheme="minorEastAsia"/>
          <w:color w:val="000000"/>
          <w:sz w:val="24"/>
          <w:szCs w:val="24"/>
        </w:rPr>
        <w:t>00万元（含）限额的申请确认成功，该类份额其余申请金额确认失败。</w:t>
      </w:r>
    </w:p>
    <w:p w:rsidR="000F7509" w:rsidRPr="006335D2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D327FA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71174B" w:rsidRDefault="00B81D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8088（免长途话费），或登陆本公司网站（www.efunds.com.cn）获取相关信息。</w:t>
      </w:r>
    </w:p>
    <w:p w:rsidR="0071174B" w:rsidRDefault="00B81D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71174B" w:rsidRDefault="00B81D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易方达基金管理有限公司</w:t>
      </w:r>
    </w:p>
    <w:p w:rsidR="00D327FA" w:rsidRPr="000F7509" w:rsidRDefault="00770DB7" w:rsidP="000F75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2018年</w:t>
      </w:r>
      <w:r w:rsidR="004F062F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103AB7">
        <w:rPr>
          <w:rFonts w:asciiTheme="minorEastAsia" w:eastAsiaTheme="minorEastAsia" w:hAnsiTheme="minorEastAsia"/>
          <w:color w:val="000000"/>
          <w:sz w:val="24"/>
          <w:szCs w:val="24"/>
        </w:rPr>
        <w:t>29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 w:rsidRDefault="00263804">
      <w:bookmarkStart w:id="2" w:name="_GoBack"/>
      <w:bookmarkEnd w:id="2"/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04" w:rsidRDefault="00263804" w:rsidP="00D327FA">
      <w:r>
        <w:separator/>
      </w:r>
    </w:p>
  </w:endnote>
  <w:endnote w:type="continuationSeparator" w:id="0">
    <w:p w:rsidR="00263804" w:rsidRDefault="0026380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04" w:rsidRDefault="00263804" w:rsidP="00D327FA">
      <w:r>
        <w:separator/>
      </w:r>
    </w:p>
  </w:footnote>
  <w:footnote w:type="continuationSeparator" w:id="0">
    <w:p w:rsidR="00263804" w:rsidRDefault="0026380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20378"/>
    <w:rsid w:val="00041353"/>
    <w:rsid w:val="000E4CBF"/>
    <w:rsid w:val="000F7509"/>
    <w:rsid w:val="00103AB7"/>
    <w:rsid w:val="001169BB"/>
    <w:rsid w:val="00180DA3"/>
    <w:rsid w:val="001B4F9F"/>
    <w:rsid w:val="00245724"/>
    <w:rsid w:val="00252EE2"/>
    <w:rsid w:val="00263804"/>
    <w:rsid w:val="002655F3"/>
    <w:rsid w:val="002935EF"/>
    <w:rsid w:val="00297148"/>
    <w:rsid w:val="002E3F44"/>
    <w:rsid w:val="002F4302"/>
    <w:rsid w:val="002F7241"/>
    <w:rsid w:val="00327DA7"/>
    <w:rsid w:val="0033513C"/>
    <w:rsid w:val="0036784E"/>
    <w:rsid w:val="00373A88"/>
    <w:rsid w:val="004966BA"/>
    <w:rsid w:val="004D6346"/>
    <w:rsid w:val="004F0521"/>
    <w:rsid w:val="004F062F"/>
    <w:rsid w:val="004F51E8"/>
    <w:rsid w:val="00564298"/>
    <w:rsid w:val="00586526"/>
    <w:rsid w:val="005B490D"/>
    <w:rsid w:val="005B7F1C"/>
    <w:rsid w:val="006335D2"/>
    <w:rsid w:val="00646522"/>
    <w:rsid w:val="0071174B"/>
    <w:rsid w:val="00770DB7"/>
    <w:rsid w:val="00791C37"/>
    <w:rsid w:val="00794025"/>
    <w:rsid w:val="007B1D31"/>
    <w:rsid w:val="007B7890"/>
    <w:rsid w:val="007D749D"/>
    <w:rsid w:val="00827D4A"/>
    <w:rsid w:val="0083445C"/>
    <w:rsid w:val="00841AFE"/>
    <w:rsid w:val="00844AD4"/>
    <w:rsid w:val="008472DB"/>
    <w:rsid w:val="008D3261"/>
    <w:rsid w:val="008F225D"/>
    <w:rsid w:val="00934D7A"/>
    <w:rsid w:val="00956B0F"/>
    <w:rsid w:val="009C5858"/>
    <w:rsid w:val="00A516C4"/>
    <w:rsid w:val="00AA5E11"/>
    <w:rsid w:val="00B101F7"/>
    <w:rsid w:val="00B5053A"/>
    <w:rsid w:val="00B81DA8"/>
    <w:rsid w:val="00BA6967"/>
    <w:rsid w:val="00BD462F"/>
    <w:rsid w:val="00BD4B89"/>
    <w:rsid w:val="00BD601B"/>
    <w:rsid w:val="00BD6D93"/>
    <w:rsid w:val="00BE35BE"/>
    <w:rsid w:val="00D114B7"/>
    <w:rsid w:val="00D327FA"/>
    <w:rsid w:val="00D33E60"/>
    <w:rsid w:val="00DC7903"/>
    <w:rsid w:val="00E72255"/>
    <w:rsid w:val="00E95C88"/>
    <w:rsid w:val="00EE1823"/>
    <w:rsid w:val="00F5252D"/>
    <w:rsid w:val="00F64447"/>
    <w:rsid w:val="00F76872"/>
    <w:rsid w:val="00F934F4"/>
    <w:rsid w:val="00F95610"/>
    <w:rsid w:val="00FA1E5C"/>
    <w:rsid w:val="00FD225A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EE9CD-6E50-4FFB-856F-934A6AD7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罗舒然</cp:lastModifiedBy>
  <cp:revision>4</cp:revision>
  <dcterms:created xsi:type="dcterms:W3CDTF">2018-05-28T10:17:00Z</dcterms:created>
  <dcterms:modified xsi:type="dcterms:W3CDTF">2018-05-28T10:32:00Z</dcterms:modified>
</cp:coreProperties>
</file>