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DB" w:rsidRPr="005F7E11" w:rsidRDefault="008472DB" w:rsidP="008472DB">
      <w:pPr>
        <w:widowControl/>
        <w:jc w:val="center"/>
        <w:rPr>
          <w:rFonts w:asciiTheme="minorEastAsia" w:eastAsiaTheme="minorEastAsia" w:hAnsiTheme="minorEastAsia" w:cs="宋体"/>
          <w:b/>
          <w:kern w:val="0"/>
          <w:sz w:val="30"/>
          <w:szCs w:val="30"/>
        </w:rPr>
      </w:pPr>
      <w:r w:rsidRPr="005F7E11">
        <w:rPr>
          <w:rFonts w:asciiTheme="minorEastAsia" w:eastAsiaTheme="minorEastAsia" w:hAnsiTheme="minorEastAsia" w:cs="宋体" w:hint="eastAsia"/>
          <w:b/>
          <w:kern w:val="0"/>
          <w:sz w:val="30"/>
          <w:szCs w:val="30"/>
        </w:rPr>
        <w:t>易方达天天理财货币市场基金A类份额在非直销销售机构及网上直销系统暂停大额申购、大额转换转入业务的公告</w:t>
      </w:r>
    </w:p>
    <w:p w:rsidR="00D327FA" w:rsidRPr="0038655C" w:rsidRDefault="008472DB" w:rsidP="008472DB">
      <w:pPr>
        <w:spacing w:line="560" w:lineRule="exact"/>
        <w:jc w:val="center"/>
        <w:rPr>
          <w:rFonts w:asciiTheme="minorEastAsia" w:eastAsiaTheme="minorEastAsia" w:hAnsiTheme="minorEastAsia" w:cs="宋体"/>
          <w:bCs/>
          <w:sz w:val="24"/>
          <w:szCs w:val="24"/>
        </w:rPr>
      </w:pPr>
      <w:r w:rsidRPr="0038655C">
        <w:rPr>
          <w:rFonts w:asciiTheme="minorEastAsia" w:eastAsiaTheme="minorEastAsia" w:hAnsiTheme="minorEastAsia"/>
          <w:color w:val="000000"/>
          <w:sz w:val="24"/>
          <w:szCs w:val="24"/>
        </w:rPr>
        <w:t>公告送出日期：</w:t>
      </w:r>
      <w:r w:rsidRPr="0038655C">
        <w:rPr>
          <w:rFonts w:asciiTheme="minorEastAsia" w:eastAsiaTheme="minorEastAsia" w:hAnsiTheme="minorEastAsia" w:cs="宋体"/>
          <w:bCs/>
          <w:sz w:val="24"/>
          <w:szCs w:val="24"/>
        </w:rPr>
        <w:t>2018年7月5日</w:t>
      </w:r>
    </w:p>
    <w:p w:rsidR="0082629A" w:rsidRPr="0038655C" w:rsidRDefault="0082629A" w:rsidP="008472DB">
      <w:pPr>
        <w:spacing w:line="560" w:lineRule="exact"/>
        <w:jc w:val="center"/>
        <w:rPr>
          <w:rFonts w:asciiTheme="minorEastAsia" w:eastAsiaTheme="minorEastAsia" w:hAnsiTheme="minorEastAsia"/>
          <w:color w:val="000000"/>
          <w:sz w:val="24"/>
          <w:szCs w:val="24"/>
        </w:rPr>
      </w:pPr>
    </w:p>
    <w:p w:rsidR="00D327FA" w:rsidRPr="0038655C" w:rsidRDefault="00D327FA" w:rsidP="00D327FA">
      <w:pPr>
        <w:pStyle w:val="2"/>
        <w:spacing w:line="560" w:lineRule="exact"/>
        <w:rPr>
          <w:rFonts w:asciiTheme="minorEastAsia" w:eastAsiaTheme="minorEastAsia" w:hAnsiTheme="minorEastAsia"/>
          <w:bCs w:val="0"/>
          <w:color w:val="000000"/>
          <w:sz w:val="24"/>
          <w:szCs w:val="24"/>
        </w:rPr>
      </w:pPr>
      <w:bookmarkStart w:id="0" w:name="_Toc275961405"/>
      <w:r w:rsidRPr="0038655C">
        <w:rPr>
          <w:rFonts w:asciiTheme="minorEastAsia" w:eastAsiaTheme="minorEastAsia" w:hAnsiTheme="minorEastAsia"/>
          <w:bCs w:val="0"/>
          <w:color w:val="000000"/>
          <w:sz w:val="24"/>
          <w:szCs w:val="24"/>
        </w:rPr>
        <w:t>1 公告基本信息</w:t>
      </w:r>
      <w:bookmarkEnd w:id="0"/>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0"/>
        <w:gridCol w:w="1559"/>
        <w:gridCol w:w="1796"/>
        <w:gridCol w:w="189"/>
        <w:gridCol w:w="1843"/>
        <w:gridCol w:w="1960"/>
        <w:gridCol w:w="18"/>
      </w:tblGrid>
      <w:tr w:rsidR="00D327FA" w:rsidRPr="0038655C" w:rsidTr="00FA4EAB">
        <w:trPr>
          <w:jc w:val="center"/>
        </w:trPr>
        <w:tc>
          <w:tcPr>
            <w:tcW w:w="2510" w:type="dxa"/>
          </w:tcPr>
          <w:p w:rsidR="00D327FA" w:rsidRPr="0038655C" w:rsidRDefault="00D327FA" w:rsidP="00E93AFC">
            <w:pPr>
              <w:spacing w:line="560" w:lineRule="exact"/>
              <w:rPr>
                <w:rFonts w:asciiTheme="minorEastAsia" w:eastAsiaTheme="minorEastAsia" w:hAnsiTheme="minorEastAsia"/>
                <w:color w:val="000000"/>
                <w:sz w:val="24"/>
                <w:szCs w:val="24"/>
                <w:highlight w:val="cyan"/>
              </w:rPr>
            </w:pPr>
            <w:r w:rsidRPr="0038655C">
              <w:rPr>
                <w:rFonts w:asciiTheme="minorEastAsia" w:eastAsiaTheme="minorEastAsia" w:hAnsiTheme="minorEastAsia"/>
                <w:color w:val="000000"/>
                <w:sz w:val="24"/>
                <w:szCs w:val="24"/>
              </w:rPr>
              <w:t>基金名称</w:t>
            </w:r>
          </w:p>
        </w:tc>
        <w:tc>
          <w:tcPr>
            <w:tcW w:w="7365" w:type="dxa"/>
            <w:gridSpan w:val="6"/>
            <w:vAlign w:val="center"/>
          </w:tcPr>
          <w:p w:rsidR="00D327FA" w:rsidRPr="0038655C" w:rsidRDefault="008472DB" w:rsidP="00327DA7">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易方达天天理财货币市场基金</w:t>
            </w:r>
          </w:p>
        </w:tc>
      </w:tr>
      <w:tr w:rsidR="00D327FA" w:rsidRPr="0038655C" w:rsidTr="00FA4EAB">
        <w:trPr>
          <w:jc w:val="center"/>
        </w:trPr>
        <w:tc>
          <w:tcPr>
            <w:tcW w:w="2510" w:type="dxa"/>
          </w:tcPr>
          <w:p w:rsidR="00D327FA" w:rsidRPr="0038655C" w:rsidRDefault="00D327FA" w:rsidP="00E93AFC">
            <w:pPr>
              <w:spacing w:line="560" w:lineRule="exact"/>
              <w:rPr>
                <w:rFonts w:asciiTheme="minorEastAsia" w:eastAsiaTheme="minorEastAsia" w:hAnsiTheme="minorEastAsia"/>
                <w:color w:val="000000"/>
                <w:kern w:val="0"/>
                <w:sz w:val="24"/>
                <w:szCs w:val="24"/>
              </w:rPr>
            </w:pPr>
            <w:r w:rsidRPr="0038655C">
              <w:rPr>
                <w:rFonts w:asciiTheme="minorEastAsia" w:eastAsiaTheme="minorEastAsia" w:hAnsiTheme="minorEastAsia"/>
                <w:color w:val="000000"/>
                <w:sz w:val="24"/>
                <w:szCs w:val="24"/>
              </w:rPr>
              <w:t>基金简称</w:t>
            </w:r>
          </w:p>
        </w:tc>
        <w:tc>
          <w:tcPr>
            <w:tcW w:w="7365" w:type="dxa"/>
            <w:gridSpan w:val="6"/>
            <w:vAlign w:val="center"/>
          </w:tcPr>
          <w:p w:rsidR="00D327FA" w:rsidRPr="0038655C" w:rsidRDefault="008472DB" w:rsidP="00327DA7">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易方达天天理财货币</w:t>
            </w:r>
          </w:p>
        </w:tc>
      </w:tr>
      <w:tr w:rsidR="00D62FCD" w:rsidRPr="0038655C" w:rsidTr="00FA4EAB">
        <w:trPr>
          <w:jc w:val="center"/>
        </w:trPr>
        <w:tc>
          <w:tcPr>
            <w:tcW w:w="2510" w:type="dxa"/>
            <w:vAlign w:val="center"/>
          </w:tcPr>
          <w:p w:rsidR="00D62FCD" w:rsidRPr="0038655C" w:rsidRDefault="00D62FCD" w:rsidP="00FB02B7">
            <w:pPr>
              <w:spacing w:line="560" w:lineRule="exact"/>
              <w:rPr>
                <w:rFonts w:asciiTheme="minorEastAsia" w:eastAsiaTheme="minorEastAsia" w:hAnsiTheme="minorEastAsia"/>
                <w:color w:val="000000"/>
                <w:sz w:val="24"/>
                <w:szCs w:val="24"/>
              </w:rPr>
            </w:pPr>
            <w:r w:rsidRPr="0038655C">
              <w:rPr>
                <w:rFonts w:asciiTheme="minorEastAsia" w:eastAsiaTheme="minorEastAsia" w:hAnsiTheme="minorEastAsia"/>
                <w:color w:val="000000"/>
                <w:sz w:val="24"/>
                <w:szCs w:val="24"/>
              </w:rPr>
              <w:t>基金主代码</w:t>
            </w:r>
          </w:p>
        </w:tc>
        <w:tc>
          <w:tcPr>
            <w:tcW w:w="7365" w:type="dxa"/>
            <w:gridSpan w:val="6"/>
            <w:vAlign w:val="center"/>
          </w:tcPr>
          <w:p w:rsidR="00D62FCD" w:rsidRPr="0038655C" w:rsidRDefault="00D62FCD" w:rsidP="00FB02B7">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000009</w:t>
            </w:r>
          </w:p>
        </w:tc>
      </w:tr>
      <w:tr w:rsidR="00D62FCD" w:rsidRPr="0038655C" w:rsidTr="00FA4EAB">
        <w:trPr>
          <w:jc w:val="center"/>
        </w:trPr>
        <w:tc>
          <w:tcPr>
            <w:tcW w:w="2510" w:type="dxa"/>
          </w:tcPr>
          <w:p w:rsidR="00D62FCD" w:rsidRPr="0038655C" w:rsidRDefault="00D62FCD" w:rsidP="00E93AFC">
            <w:pPr>
              <w:spacing w:line="560" w:lineRule="exact"/>
              <w:rPr>
                <w:rFonts w:asciiTheme="minorEastAsia" w:eastAsiaTheme="minorEastAsia" w:hAnsiTheme="minorEastAsia"/>
                <w:color w:val="000000"/>
                <w:kern w:val="0"/>
                <w:sz w:val="24"/>
                <w:szCs w:val="24"/>
              </w:rPr>
            </w:pPr>
            <w:r w:rsidRPr="0038655C">
              <w:rPr>
                <w:rFonts w:asciiTheme="minorEastAsia" w:eastAsiaTheme="minorEastAsia" w:hAnsiTheme="minorEastAsia"/>
                <w:color w:val="000000"/>
                <w:sz w:val="24"/>
                <w:szCs w:val="24"/>
              </w:rPr>
              <w:t>基金管理人名称</w:t>
            </w:r>
          </w:p>
        </w:tc>
        <w:tc>
          <w:tcPr>
            <w:tcW w:w="7365" w:type="dxa"/>
            <w:gridSpan w:val="6"/>
            <w:vAlign w:val="center"/>
          </w:tcPr>
          <w:p w:rsidR="00D62FCD" w:rsidRPr="0038655C" w:rsidRDefault="00D62FCD" w:rsidP="00327DA7">
            <w:pPr>
              <w:rPr>
                <w:rFonts w:asciiTheme="minorEastAsia" w:eastAsiaTheme="minorEastAsia" w:hAnsiTheme="minorEastAsia"/>
                <w:sz w:val="24"/>
                <w:szCs w:val="24"/>
              </w:rPr>
            </w:pPr>
            <w:r w:rsidRPr="0038655C">
              <w:rPr>
                <w:rFonts w:asciiTheme="minorEastAsia" w:eastAsiaTheme="minorEastAsia" w:hAnsiTheme="minorEastAsia"/>
                <w:sz w:val="24"/>
                <w:szCs w:val="24"/>
              </w:rPr>
              <w:t>易方达基金管理有限公司</w:t>
            </w:r>
          </w:p>
        </w:tc>
      </w:tr>
      <w:tr w:rsidR="00D62FCD" w:rsidRPr="0038655C" w:rsidTr="00FA4EAB">
        <w:trPr>
          <w:jc w:val="center"/>
        </w:trPr>
        <w:tc>
          <w:tcPr>
            <w:tcW w:w="2510" w:type="dxa"/>
          </w:tcPr>
          <w:p w:rsidR="00D62FCD" w:rsidRPr="0038655C" w:rsidRDefault="00D62FCD" w:rsidP="00E93AFC">
            <w:pPr>
              <w:spacing w:line="560" w:lineRule="exact"/>
              <w:rPr>
                <w:rFonts w:asciiTheme="minorEastAsia" w:eastAsiaTheme="minorEastAsia" w:hAnsiTheme="minorEastAsia"/>
                <w:color w:val="000000"/>
                <w:kern w:val="0"/>
                <w:sz w:val="24"/>
                <w:szCs w:val="24"/>
              </w:rPr>
            </w:pPr>
            <w:r w:rsidRPr="0038655C">
              <w:rPr>
                <w:rFonts w:asciiTheme="minorEastAsia" w:eastAsiaTheme="minorEastAsia" w:hAnsiTheme="minorEastAsia"/>
                <w:color w:val="000000"/>
                <w:sz w:val="24"/>
                <w:szCs w:val="24"/>
              </w:rPr>
              <w:t>公告依据</w:t>
            </w:r>
          </w:p>
        </w:tc>
        <w:tc>
          <w:tcPr>
            <w:tcW w:w="7365" w:type="dxa"/>
            <w:gridSpan w:val="6"/>
            <w:vAlign w:val="center"/>
          </w:tcPr>
          <w:p w:rsidR="00D62FCD" w:rsidRPr="0038655C" w:rsidRDefault="00D62FCD" w:rsidP="00327DA7">
            <w:pPr>
              <w:rPr>
                <w:rFonts w:asciiTheme="minorEastAsia" w:eastAsiaTheme="minorEastAsia" w:hAnsiTheme="minorEastAsia"/>
                <w:sz w:val="24"/>
                <w:szCs w:val="24"/>
              </w:rPr>
            </w:pPr>
            <w:r w:rsidRPr="0038655C">
              <w:rPr>
                <w:rFonts w:asciiTheme="minorEastAsia" w:eastAsiaTheme="minorEastAsia" w:hAnsiTheme="minorEastAsia"/>
                <w:sz w:val="24"/>
                <w:szCs w:val="24"/>
              </w:rPr>
              <w:t>《易方达天天理财货币市场基金基金合同》、《易方达天天理财货币市场基金更新的招募说明书》</w:t>
            </w:r>
          </w:p>
        </w:tc>
      </w:tr>
      <w:tr w:rsidR="00E0230C" w:rsidRPr="0038655C" w:rsidTr="00FA4EAB">
        <w:trPr>
          <w:jc w:val="center"/>
        </w:trPr>
        <w:tc>
          <w:tcPr>
            <w:tcW w:w="2510" w:type="dxa"/>
            <w:vMerge w:val="restart"/>
            <w:vAlign w:val="center"/>
          </w:tcPr>
          <w:p w:rsidR="00E0230C" w:rsidRPr="0038655C" w:rsidRDefault="00E0230C" w:rsidP="00E0230C">
            <w:pPr>
              <w:spacing w:line="560" w:lineRule="exact"/>
              <w:rPr>
                <w:rFonts w:asciiTheme="minorEastAsia" w:eastAsiaTheme="minorEastAsia" w:hAnsiTheme="minorEastAsia"/>
                <w:color w:val="000000"/>
                <w:sz w:val="24"/>
                <w:szCs w:val="24"/>
              </w:rPr>
            </w:pPr>
            <w:r w:rsidRPr="0038655C">
              <w:rPr>
                <w:rFonts w:asciiTheme="minorEastAsia" w:eastAsiaTheme="minorEastAsia" w:hAnsiTheme="minorEastAsia"/>
                <w:color w:val="000000"/>
                <w:sz w:val="24"/>
                <w:szCs w:val="24"/>
              </w:rPr>
              <w:t>暂停相关业务的起始日、金额及原因说明</w:t>
            </w:r>
          </w:p>
        </w:tc>
        <w:tc>
          <w:tcPr>
            <w:tcW w:w="3355" w:type="dxa"/>
            <w:gridSpan w:val="2"/>
          </w:tcPr>
          <w:p w:rsidR="00E0230C" w:rsidRPr="0038655C" w:rsidRDefault="00E0230C" w:rsidP="0036784E">
            <w:pPr>
              <w:spacing w:line="560" w:lineRule="exact"/>
              <w:rPr>
                <w:rFonts w:asciiTheme="minorEastAsia" w:eastAsiaTheme="minorEastAsia" w:hAnsiTheme="minorEastAsia"/>
                <w:color w:val="000000"/>
                <w:kern w:val="0"/>
                <w:sz w:val="24"/>
                <w:szCs w:val="24"/>
              </w:rPr>
            </w:pPr>
            <w:r w:rsidRPr="0038655C">
              <w:rPr>
                <w:rFonts w:asciiTheme="minorEastAsia" w:eastAsiaTheme="minorEastAsia" w:hAnsiTheme="minorEastAsia"/>
                <w:color w:val="000000"/>
                <w:sz w:val="24"/>
                <w:szCs w:val="24"/>
              </w:rPr>
              <w:t>暂停</w:t>
            </w:r>
            <w:r>
              <w:rPr>
                <w:rFonts w:asciiTheme="minorEastAsia" w:eastAsiaTheme="minorEastAsia" w:hAnsiTheme="minorEastAsia" w:hint="eastAsia"/>
                <w:color w:val="000000"/>
                <w:sz w:val="24"/>
                <w:szCs w:val="24"/>
              </w:rPr>
              <w:t>大额</w:t>
            </w:r>
            <w:r w:rsidRPr="0038655C">
              <w:rPr>
                <w:rFonts w:asciiTheme="minorEastAsia" w:eastAsiaTheme="minorEastAsia" w:hAnsiTheme="minorEastAsia"/>
                <w:color w:val="000000"/>
                <w:sz w:val="24"/>
                <w:szCs w:val="24"/>
              </w:rPr>
              <w:t>申购起始日</w:t>
            </w:r>
          </w:p>
        </w:tc>
        <w:tc>
          <w:tcPr>
            <w:tcW w:w="4010" w:type="dxa"/>
            <w:gridSpan w:val="4"/>
            <w:vAlign w:val="center"/>
          </w:tcPr>
          <w:p w:rsidR="00E0230C" w:rsidRPr="0038655C" w:rsidRDefault="00E0230C" w:rsidP="005C1877">
            <w:pPr>
              <w:spacing w:line="560" w:lineRule="exact"/>
              <w:rPr>
                <w:rFonts w:asciiTheme="minorEastAsia" w:eastAsiaTheme="minorEastAsia" w:hAnsiTheme="minorEastAsia"/>
                <w:sz w:val="24"/>
                <w:szCs w:val="24"/>
              </w:rPr>
            </w:pPr>
            <w:r w:rsidRPr="0038655C">
              <w:rPr>
                <w:rFonts w:asciiTheme="minorEastAsia" w:eastAsiaTheme="minorEastAsia" w:hAnsiTheme="minorEastAsia" w:hint="eastAsia"/>
                <w:sz w:val="24"/>
                <w:szCs w:val="24"/>
              </w:rPr>
              <w:t>2018年7月6日</w:t>
            </w:r>
          </w:p>
        </w:tc>
      </w:tr>
      <w:tr w:rsidR="00E0230C" w:rsidRPr="0038655C" w:rsidTr="00FA4EAB">
        <w:trPr>
          <w:jc w:val="center"/>
        </w:trPr>
        <w:tc>
          <w:tcPr>
            <w:tcW w:w="2510" w:type="dxa"/>
            <w:vMerge/>
          </w:tcPr>
          <w:p w:rsidR="00E0230C" w:rsidRPr="0038655C" w:rsidRDefault="00E0230C" w:rsidP="00854DEF">
            <w:pPr>
              <w:rPr>
                <w:rFonts w:asciiTheme="minorEastAsia" w:eastAsiaTheme="minorEastAsia" w:hAnsiTheme="minorEastAsia"/>
                <w:color w:val="000000"/>
                <w:sz w:val="24"/>
                <w:szCs w:val="24"/>
              </w:rPr>
            </w:pPr>
          </w:p>
        </w:tc>
        <w:tc>
          <w:tcPr>
            <w:tcW w:w="3355" w:type="dxa"/>
            <w:gridSpan w:val="2"/>
          </w:tcPr>
          <w:p w:rsidR="00E0230C" w:rsidRPr="0038655C" w:rsidRDefault="00E0230C" w:rsidP="002F7241">
            <w:pPr>
              <w:spacing w:line="560" w:lineRule="exact"/>
              <w:rPr>
                <w:rFonts w:asciiTheme="minorEastAsia" w:eastAsiaTheme="minorEastAsia" w:hAnsiTheme="minorEastAsia"/>
                <w:color w:val="000000"/>
                <w:kern w:val="0"/>
                <w:sz w:val="24"/>
                <w:szCs w:val="24"/>
              </w:rPr>
            </w:pPr>
            <w:r w:rsidRPr="0038655C">
              <w:rPr>
                <w:rFonts w:asciiTheme="minorEastAsia" w:eastAsiaTheme="minorEastAsia" w:hAnsiTheme="minorEastAsia"/>
                <w:color w:val="000000"/>
                <w:sz w:val="24"/>
                <w:szCs w:val="24"/>
              </w:rPr>
              <w:t>暂停</w:t>
            </w:r>
            <w:r>
              <w:rPr>
                <w:rFonts w:asciiTheme="minorEastAsia" w:eastAsiaTheme="minorEastAsia" w:hAnsiTheme="minorEastAsia" w:hint="eastAsia"/>
                <w:color w:val="000000"/>
                <w:sz w:val="24"/>
                <w:szCs w:val="24"/>
              </w:rPr>
              <w:t>大额</w:t>
            </w:r>
            <w:r w:rsidRPr="0038655C">
              <w:rPr>
                <w:rFonts w:asciiTheme="minorEastAsia" w:eastAsiaTheme="minorEastAsia" w:hAnsiTheme="minorEastAsia"/>
                <w:color w:val="000000"/>
                <w:sz w:val="24"/>
                <w:szCs w:val="24"/>
              </w:rPr>
              <w:t>转换转入起始日</w:t>
            </w:r>
          </w:p>
        </w:tc>
        <w:tc>
          <w:tcPr>
            <w:tcW w:w="4010" w:type="dxa"/>
            <w:gridSpan w:val="4"/>
            <w:vAlign w:val="center"/>
          </w:tcPr>
          <w:p w:rsidR="00E0230C" w:rsidRPr="0038655C" w:rsidRDefault="00E0230C" w:rsidP="00327DA7">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2018年7月6日</w:t>
            </w:r>
          </w:p>
        </w:tc>
      </w:tr>
      <w:tr w:rsidR="00E0230C" w:rsidRPr="0038655C" w:rsidTr="00FA4EAB">
        <w:trPr>
          <w:jc w:val="center"/>
        </w:trPr>
        <w:tc>
          <w:tcPr>
            <w:tcW w:w="2510" w:type="dxa"/>
            <w:vMerge/>
          </w:tcPr>
          <w:p w:rsidR="00E0230C" w:rsidRDefault="00E0230C"/>
        </w:tc>
        <w:tc>
          <w:tcPr>
            <w:tcW w:w="3355" w:type="dxa"/>
            <w:gridSpan w:val="2"/>
          </w:tcPr>
          <w:p w:rsidR="00E0230C" w:rsidRPr="0038655C" w:rsidRDefault="00E0230C" w:rsidP="00E0230C">
            <w:pPr>
              <w:spacing w:line="560" w:lineRule="exact"/>
              <w:rPr>
                <w:rFonts w:asciiTheme="minorEastAsia" w:eastAsiaTheme="minorEastAsia" w:hAnsiTheme="minorEastAsia"/>
                <w:color w:val="000000"/>
                <w:kern w:val="0"/>
                <w:sz w:val="24"/>
                <w:szCs w:val="24"/>
              </w:rPr>
            </w:pPr>
            <w:r>
              <w:rPr>
                <w:rFonts w:asciiTheme="minorEastAsia" w:eastAsiaTheme="minorEastAsia" w:hAnsiTheme="minorEastAsia"/>
                <w:color w:val="000000"/>
                <w:sz w:val="24"/>
                <w:szCs w:val="24"/>
              </w:rPr>
              <w:t>暂停大额</w:t>
            </w:r>
            <w:r w:rsidRPr="0038655C">
              <w:rPr>
                <w:rFonts w:asciiTheme="minorEastAsia" w:eastAsiaTheme="minorEastAsia" w:hAnsiTheme="minorEastAsia"/>
                <w:color w:val="000000"/>
                <w:sz w:val="24"/>
                <w:szCs w:val="24"/>
              </w:rPr>
              <w:t>申购</w:t>
            </w:r>
            <w:r>
              <w:rPr>
                <w:rFonts w:asciiTheme="minorEastAsia" w:eastAsiaTheme="minorEastAsia" w:hAnsiTheme="minorEastAsia" w:hint="eastAsia"/>
                <w:color w:val="000000"/>
                <w:sz w:val="24"/>
                <w:szCs w:val="24"/>
              </w:rPr>
              <w:t>、大额</w:t>
            </w:r>
            <w:r w:rsidRPr="0038655C">
              <w:rPr>
                <w:rFonts w:asciiTheme="minorEastAsia" w:eastAsiaTheme="minorEastAsia" w:hAnsiTheme="minorEastAsia"/>
                <w:color w:val="000000"/>
                <w:sz w:val="24"/>
                <w:szCs w:val="24"/>
              </w:rPr>
              <w:t>转换转入的原因说明</w:t>
            </w:r>
          </w:p>
        </w:tc>
        <w:tc>
          <w:tcPr>
            <w:tcW w:w="4010" w:type="dxa"/>
            <w:gridSpan w:val="4"/>
          </w:tcPr>
          <w:p w:rsidR="00E0230C" w:rsidRPr="0038655C" w:rsidRDefault="00E0230C" w:rsidP="00E93AFC">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为了保证基金的平稳运作，保护基金份额持有人利益</w:t>
            </w:r>
          </w:p>
        </w:tc>
      </w:tr>
      <w:tr w:rsidR="00FA4EAB" w:rsidRPr="0038655C" w:rsidTr="000F53E8">
        <w:trPr>
          <w:gridAfter w:val="1"/>
          <w:wAfter w:w="18" w:type="dxa"/>
          <w:jc w:val="center"/>
        </w:trPr>
        <w:tc>
          <w:tcPr>
            <w:tcW w:w="2510" w:type="dxa"/>
            <w:vAlign w:val="center"/>
          </w:tcPr>
          <w:p w:rsidR="00FA4EAB" w:rsidRPr="0038655C" w:rsidRDefault="00FA4EAB" w:rsidP="008709BC">
            <w:pPr>
              <w:spacing w:line="560" w:lineRule="exact"/>
              <w:rPr>
                <w:rFonts w:asciiTheme="minorEastAsia" w:eastAsiaTheme="minorEastAsia" w:hAnsiTheme="minorEastAsia"/>
                <w:color w:val="000000"/>
                <w:kern w:val="0"/>
                <w:sz w:val="24"/>
                <w:szCs w:val="24"/>
              </w:rPr>
            </w:pPr>
            <w:r w:rsidRPr="0038655C">
              <w:rPr>
                <w:rFonts w:asciiTheme="minorEastAsia" w:eastAsiaTheme="minorEastAsia" w:hAnsiTheme="minorEastAsia"/>
                <w:color w:val="000000"/>
                <w:sz w:val="24"/>
                <w:szCs w:val="24"/>
              </w:rPr>
              <w:t>下属分级基金的基金简称</w:t>
            </w:r>
          </w:p>
        </w:tc>
        <w:tc>
          <w:tcPr>
            <w:tcW w:w="1559" w:type="dxa"/>
            <w:vAlign w:val="center"/>
          </w:tcPr>
          <w:p w:rsidR="00FA4EAB" w:rsidRPr="0038655C" w:rsidRDefault="00FA4EAB" w:rsidP="00BD601B">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易方达天天理财货币A</w:t>
            </w:r>
          </w:p>
        </w:tc>
        <w:tc>
          <w:tcPr>
            <w:tcW w:w="1985" w:type="dxa"/>
            <w:gridSpan w:val="2"/>
            <w:vAlign w:val="center"/>
          </w:tcPr>
          <w:p w:rsidR="00FA4EAB" w:rsidRPr="0038655C" w:rsidRDefault="00FA4EAB" w:rsidP="00BD601B">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易方达天天理财货币B</w:t>
            </w:r>
          </w:p>
        </w:tc>
        <w:tc>
          <w:tcPr>
            <w:tcW w:w="1843" w:type="dxa"/>
            <w:vAlign w:val="center"/>
          </w:tcPr>
          <w:p w:rsidR="00FA4EAB" w:rsidRPr="0038655C" w:rsidRDefault="00FA4EAB" w:rsidP="00BE2591">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易方达天天理财货币R</w:t>
            </w:r>
          </w:p>
        </w:tc>
        <w:tc>
          <w:tcPr>
            <w:tcW w:w="1960" w:type="dxa"/>
            <w:vAlign w:val="center"/>
          </w:tcPr>
          <w:p w:rsidR="00FA4EAB" w:rsidRPr="0038655C" w:rsidRDefault="00FA4EAB" w:rsidP="000A71AF">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易方达天天理财货币C</w:t>
            </w:r>
          </w:p>
        </w:tc>
      </w:tr>
      <w:tr w:rsidR="00FA4EAB" w:rsidRPr="0038655C" w:rsidTr="000F53E8">
        <w:trPr>
          <w:gridAfter w:val="1"/>
          <w:wAfter w:w="18" w:type="dxa"/>
          <w:jc w:val="center"/>
        </w:trPr>
        <w:tc>
          <w:tcPr>
            <w:tcW w:w="2510" w:type="dxa"/>
            <w:vAlign w:val="center"/>
          </w:tcPr>
          <w:p w:rsidR="00FA4EAB" w:rsidRPr="0038655C" w:rsidRDefault="00FA4EAB" w:rsidP="00E93AFC">
            <w:pPr>
              <w:spacing w:line="560" w:lineRule="exact"/>
              <w:rPr>
                <w:rFonts w:asciiTheme="minorEastAsia" w:eastAsiaTheme="minorEastAsia" w:hAnsiTheme="minorEastAsia"/>
                <w:color w:val="000000"/>
                <w:kern w:val="0"/>
                <w:sz w:val="24"/>
                <w:szCs w:val="24"/>
              </w:rPr>
            </w:pPr>
            <w:r w:rsidRPr="0038655C">
              <w:rPr>
                <w:rFonts w:asciiTheme="minorEastAsia" w:eastAsiaTheme="minorEastAsia" w:hAnsiTheme="minorEastAsia"/>
                <w:color w:val="000000"/>
                <w:sz w:val="24"/>
                <w:szCs w:val="24"/>
              </w:rPr>
              <w:t>下属分级基金的交易代码</w:t>
            </w:r>
          </w:p>
        </w:tc>
        <w:tc>
          <w:tcPr>
            <w:tcW w:w="1559" w:type="dxa"/>
            <w:vAlign w:val="center"/>
          </w:tcPr>
          <w:p w:rsidR="00FA4EAB" w:rsidRPr="0038655C" w:rsidRDefault="00FA4EAB" w:rsidP="00BD601B">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000009</w:t>
            </w:r>
          </w:p>
        </w:tc>
        <w:tc>
          <w:tcPr>
            <w:tcW w:w="1985" w:type="dxa"/>
            <w:gridSpan w:val="2"/>
            <w:vAlign w:val="center"/>
          </w:tcPr>
          <w:p w:rsidR="00FA4EAB" w:rsidRPr="0038655C" w:rsidRDefault="00FA4EAB" w:rsidP="00BD601B">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000010</w:t>
            </w:r>
          </w:p>
        </w:tc>
        <w:tc>
          <w:tcPr>
            <w:tcW w:w="1843" w:type="dxa"/>
            <w:vAlign w:val="center"/>
          </w:tcPr>
          <w:p w:rsidR="00FA4EAB" w:rsidRPr="0038655C" w:rsidRDefault="00FA4EAB" w:rsidP="00BD601B">
            <w:pPr>
              <w:spacing w:line="560" w:lineRule="exact"/>
              <w:rPr>
                <w:rFonts w:asciiTheme="minorEastAsia" w:eastAsiaTheme="minorEastAsia" w:hAnsiTheme="minorEastAsia"/>
                <w:sz w:val="24"/>
                <w:szCs w:val="24"/>
              </w:rPr>
            </w:pPr>
            <w:r w:rsidRPr="0038655C">
              <w:rPr>
                <w:rFonts w:asciiTheme="minorEastAsia" w:eastAsiaTheme="minorEastAsia" w:hAnsiTheme="minorEastAsia" w:hint="eastAsia"/>
                <w:sz w:val="24"/>
                <w:szCs w:val="24"/>
              </w:rPr>
              <w:t>000013</w:t>
            </w:r>
          </w:p>
        </w:tc>
        <w:tc>
          <w:tcPr>
            <w:tcW w:w="1960" w:type="dxa"/>
            <w:vAlign w:val="center"/>
          </w:tcPr>
          <w:p w:rsidR="00FA4EAB" w:rsidRPr="0038655C" w:rsidRDefault="00FA4EAB" w:rsidP="000A71AF">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005122</w:t>
            </w:r>
          </w:p>
        </w:tc>
      </w:tr>
      <w:tr w:rsidR="00152AD1" w:rsidRPr="0038655C" w:rsidTr="000F53E8">
        <w:trPr>
          <w:gridAfter w:val="1"/>
          <w:wAfter w:w="18" w:type="dxa"/>
          <w:jc w:val="center"/>
        </w:trPr>
        <w:tc>
          <w:tcPr>
            <w:tcW w:w="2510" w:type="dxa"/>
          </w:tcPr>
          <w:p w:rsidR="00152AD1" w:rsidRPr="0038655C" w:rsidRDefault="00152AD1" w:rsidP="00152AD1">
            <w:pPr>
              <w:spacing w:line="560" w:lineRule="exact"/>
              <w:rPr>
                <w:rFonts w:asciiTheme="minorEastAsia" w:eastAsiaTheme="minorEastAsia" w:hAnsiTheme="minorEastAsia"/>
                <w:color w:val="000000"/>
                <w:kern w:val="0"/>
                <w:sz w:val="24"/>
                <w:szCs w:val="24"/>
              </w:rPr>
            </w:pPr>
            <w:r>
              <w:rPr>
                <w:rFonts w:asciiTheme="minorEastAsia" w:eastAsiaTheme="minorEastAsia" w:hAnsiTheme="minorEastAsia"/>
                <w:color w:val="000000"/>
                <w:sz w:val="24"/>
                <w:szCs w:val="24"/>
              </w:rPr>
              <w:t>该分级基金是否暂停大额</w:t>
            </w:r>
            <w:r w:rsidRPr="0038655C">
              <w:rPr>
                <w:rFonts w:asciiTheme="minorEastAsia" w:eastAsiaTheme="minorEastAsia" w:hAnsiTheme="minorEastAsia"/>
                <w:color w:val="000000"/>
                <w:sz w:val="24"/>
                <w:szCs w:val="24"/>
              </w:rPr>
              <w:t>申购</w:t>
            </w:r>
            <w:r>
              <w:rPr>
                <w:rFonts w:asciiTheme="minorEastAsia" w:eastAsiaTheme="minorEastAsia" w:hAnsiTheme="minorEastAsia" w:hint="eastAsia"/>
                <w:color w:val="000000"/>
                <w:sz w:val="24"/>
                <w:szCs w:val="24"/>
              </w:rPr>
              <w:t>、大额</w:t>
            </w:r>
            <w:r w:rsidRPr="0038655C">
              <w:rPr>
                <w:rFonts w:asciiTheme="minorEastAsia" w:eastAsiaTheme="minorEastAsia" w:hAnsiTheme="minorEastAsia"/>
                <w:color w:val="000000"/>
                <w:sz w:val="24"/>
                <w:szCs w:val="24"/>
              </w:rPr>
              <w:t>转换转入</w:t>
            </w:r>
          </w:p>
        </w:tc>
        <w:tc>
          <w:tcPr>
            <w:tcW w:w="1559" w:type="dxa"/>
            <w:vAlign w:val="center"/>
          </w:tcPr>
          <w:p w:rsidR="00152AD1" w:rsidRPr="0038655C" w:rsidRDefault="00152AD1" w:rsidP="00152AD1">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是</w:t>
            </w:r>
          </w:p>
        </w:tc>
        <w:tc>
          <w:tcPr>
            <w:tcW w:w="1985" w:type="dxa"/>
            <w:gridSpan w:val="2"/>
            <w:vAlign w:val="center"/>
          </w:tcPr>
          <w:p w:rsidR="00152AD1" w:rsidRPr="0038655C" w:rsidRDefault="00152AD1" w:rsidP="00152AD1">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w:t>
            </w:r>
          </w:p>
        </w:tc>
        <w:tc>
          <w:tcPr>
            <w:tcW w:w="1843" w:type="dxa"/>
            <w:vAlign w:val="center"/>
          </w:tcPr>
          <w:p w:rsidR="00152AD1" w:rsidRPr="0038655C" w:rsidRDefault="00152AD1" w:rsidP="00152AD1">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w:t>
            </w:r>
          </w:p>
        </w:tc>
        <w:tc>
          <w:tcPr>
            <w:tcW w:w="1960" w:type="dxa"/>
            <w:vAlign w:val="center"/>
          </w:tcPr>
          <w:p w:rsidR="00152AD1" w:rsidRPr="0038655C" w:rsidRDefault="00152AD1" w:rsidP="00152AD1">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w:t>
            </w:r>
          </w:p>
        </w:tc>
      </w:tr>
      <w:tr w:rsidR="00FA4EAB" w:rsidRPr="0038655C" w:rsidTr="000F53E8">
        <w:trPr>
          <w:gridAfter w:val="1"/>
          <w:wAfter w:w="18" w:type="dxa"/>
          <w:jc w:val="center"/>
        </w:trPr>
        <w:tc>
          <w:tcPr>
            <w:tcW w:w="2510" w:type="dxa"/>
          </w:tcPr>
          <w:p w:rsidR="00FA4EAB" w:rsidRPr="0038655C" w:rsidRDefault="00FA4EAB" w:rsidP="0036784E">
            <w:pPr>
              <w:spacing w:line="560" w:lineRule="exact"/>
              <w:rPr>
                <w:rFonts w:asciiTheme="minorEastAsia" w:eastAsiaTheme="minorEastAsia" w:hAnsiTheme="minorEastAsia"/>
                <w:color w:val="000000"/>
                <w:sz w:val="24"/>
                <w:szCs w:val="24"/>
              </w:rPr>
            </w:pPr>
            <w:r w:rsidRPr="0038655C">
              <w:rPr>
                <w:rFonts w:asciiTheme="minorEastAsia" w:eastAsiaTheme="minorEastAsia" w:hAnsiTheme="minorEastAsia"/>
                <w:color w:val="000000"/>
                <w:sz w:val="24"/>
                <w:szCs w:val="24"/>
              </w:rPr>
              <w:t>下属分级基金的限制申购金额（单位：</w:t>
            </w:r>
            <w:r w:rsidRPr="0038655C">
              <w:rPr>
                <w:rFonts w:asciiTheme="minorEastAsia" w:eastAsiaTheme="minorEastAsia" w:hAnsiTheme="minorEastAsia" w:hint="eastAsia"/>
                <w:color w:val="000000"/>
                <w:kern w:val="0"/>
                <w:sz w:val="24"/>
                <w:szCs w:val="24"/>
              </w:rPr>
              <w:t>元</w:t>
            </w:r>
            <w:r w:rsidRPr="0038655C">
              <w:rPr>
                <w:rFonts w:asciiTheme="minorEastAsia" w:eastAsiaTheme="minorEastAsia" w:hAnsiTheme="minorEastAsia"/>
                <w:color w:val="000000"/>
                <w:sz w:val="24"/>
                <w:szCs w:val="24"/>
              </w:rPr>
              <w:t xml:space="preserve"> ）</w:t>
            </w:r>
          </w:p>
        </w:tc>
        <w:tc>
          <w:tcPr>
            <w:tcW w:w="1559" w:type="dxa"/>
            <w:vAlign w:val="center"/>
          </w:tcPr>
          <w:p w:rsidR="00FA4EAB" w:rsidRPr="0038655C" w:rsidRDefault="00FA4EAB" w:rsidP="00BD601B">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30,000,000.00</w:t>
            </w:r>
          </w:p>
        </w:tc>
        <w:tc>
          <w:tcPr>
            <w:tcW w:w="1985" w:type="dxa"/>
            <w:gridSpan w:val="2"/>
            <w:vAlign w:val="center"/>
          </w:tcPr>
          <w:p w:rsidR="00FA4EAB" w:rsidRPr="0038655C" w:rsidRDefault="00FA4EAB" w:rsidP="00A31E4B">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w:t>
            </w:r>
          </w:p>
        </w:tc>
        <w:tc>
          <w:tcPr>
            <w:tcW w:w="1843" w:type="dxa"/>
            <w:vAlign w:val="center"/>
          </w:tcPr>
          <w:p w:rsidR="00FA4EAB" w:rsidRPr="0038655C" w:rsidRDefault="00FA4EAB" w:rsidP="00A31E4B">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w:t>
            </w:r>
          </w:p>
        </w:tc>
        <w:tc>
          <w:tcPr>
            <w:tcW w:w="1960" w:type="dxa"/>
            <w:vAlign w:val="center"/>
          </w:tcPr>
          <w:p w:rsidR="00FA4EAB" w:rsidRPr="0038655C" w:rsidRDefault="00FA4EAB" w:rsidP="000A71AF">
            <w:pPr>
              <w:spacing w:line="560" w:lineRule="exact"/>
              <w:rPr>
                <w:rFonts w:asciiTheme="minorEastAsia" w:eastAsiaTheme="minorEastAsia" w:hAnsiTheme="minorEastAsia"/>
                <w:sz w:val="24"/>
                <w:szCs w:val="24"/>
              </w:rPr>
            </w:pPr>
            <w:r w:rsidRPr="0038655C">
              <w:rPr>
                <w:rFonts w:asciiTheme="minorEastAsia" w:eastAsiaTheme="minorEastAsia" w:hAnsiTheme="minorEastAsia"/>
                <w:sz w:val="24"/>
                <w:szCs w:val="24"/>
              </w:rPr>
              <w:t>-</w:t>
            </w:r>
            <w:bookmarkStart w:id="1" w:name="_GoBack"/>
            <w:bookmarkEnd w:id="1"/>
          </w:p>
        </w:tc>
      </w:tr>
      <w:tr w:rsidR="00FA4EAB" w:rsidRPr="0038655C" w:rsidTr="000F53E8">
        <w:trPr>
          <w:gridAfter w:val="1"/>
          <w:wAfter w:w="18" w:type="dxa"/>
          <w:jc w:val="center"/>
        </w:trPr>
        <w:tc>
          <w:tcPr>
            <w:tcW w:w="2510" w:type="dxa"/>
          </w:tcPr>
          <w:p w:rsidR="00FA4EAB" w:rsidRPr="0038655C" w:rsidRDefault="00FA4EAB" w:rsidP="00E93AFC">
            <w:pPr>
              <w:spacing w:line="560" w:lineRule="exact"/>
              <w:rPr>
                <w:rFonts w:asciiTheme="minorEastAsia" w:eastAsiaTheme="minorEastAsia" w:hAnsiTheme="minorEastAsia"/>
                <w:color w:val="000000"/>
                <w:sz w:val="24"/>
                <w:szCs w:val="24"/>
              </w:rPr>
            </w:pPr>
            <w:r w:rsidRPr="0038655C">
              <w:rPr>
                <w:rFonts w:asciiTheme="minorEastAsia" w:eastAsiaTheme="minorEastAsia" w:hAnsiTheme="minorEastAsia"/>
                <w:color w:val="000000"/>
                <w:sz w:val="24"/>
                <w:szCs w:val="24"/>
              </w:rPr>
              <w:lastRenderedPageBreak/>
              <w:t>下属分级基金的限制转换转入金额（单位：</w:t>
            </w:r>
            <w:r w:rsidRPr="0038655C">
              <w:rPr>
                <w:rFonts w:asciiTheme="minorEastAsia" w:eastAsiaTheme="minorEastAsia" w:hAnsiTheme="minorEastAsia" w:hint="eastAsia"/>
                <w:color w:val="000000"/>
                <w:kern w:val="0"/>
                <w:sz w:val="24"/>
                <w:szCs w:val="24"/>
              </w:rPr>
              <w:t>元</w:t>
            </w:r>
            <w:r w:rsidRPr="0038655C">
              <w:rPr>
                <w:rFonts w:asciiTheme="minorEastAsia" w:eastAsiaTheme="minorEastAsia" w:hAnsiTheme="minorEastAsia"/>
                <w:color w:val="000000"/>
                <w:sz w:val="24"/>
                <w:szCs w:val="24"/>
              </w:rPr>
              <w:t xml:space="preserve"> ）</w:t>
            </w:r>
          </w:p>
        </w:tc>
        <w:tc>
          <w:tcPr>
            <w:tcW w:w="1559" w:type="dxa"/>
            <w:vAlign w:val="center"/>
          </w:tcPr>
          <w:p w:rsidR="00FA4EAB" w:rsidRPr="0085516D" w:rsidRDefault="00FA4EAB" w:rsidP="0085516D">
            <w:pPr>
              <w:spacing w:line="560" w:lineRule="exact"/>
              <w:rPr>
                <w:rFonts w:asciiTheme="minorEastAsia" w:eastAsiaTheme="minorEastAsia" w:hAnsiTheme="minorEastAsia"/>
                <w:kern w:val="0"/>
                <w:sz w:val="24"/>
                <w:szCs w:val="24"/>
              </w:rPr>
            </w:pPr>
            <w:r w:rsidRPr="0085516D">
              <w:rPr>
                <w:rFonts w:asciiTheme="minorEastAsia" w:eastAsiaTheme="minorEastAsia" w:hAnsiTheme="minorEastAsia" w:hint="eastAsia"/>
                <w:kern w:val="0"/>
                <w:sz w:val="24"/>
                <w:szCs w:val="24"/>
              </w:rPr>
              <w:t>30,000,000.00</w:t>
            </w:r>
          </w:p>
        </w:tc>
        <w:tc>
          <w:tcPr>
            <w:tcW w:w="1985" w:type="dxa"/>
            <w:gridSpan w:val="2"/>
            <w:vAlign w:val="center"/>
          </w:tcPr>
          <w:p w:rsidR="00FA4EAB" w:rsidRPr="0085516D" w:rsidRDefault="00FA4EAB" w:rsidP="0085516D">
            <w:pPr>
              <w:spacing w:line="560" w:lineRule="exact"/>
              <w:rPr>
                <w:rFonts w:asciiTheme="minorEastAsia" w:eastAsiaTheme="minorEastAsia" w:hAnsiTheme="minorEastAsia"/>
                <w:kern w:val="0"/>
                <w:sz w:val="24"/>
                <w:szCs w:val="24"/>
              </w:rPr>
            </w:pPr>
            <w:r w:rsidRPr="0085516D">
              <w:rPr>
                <w:rFonts w:asciiTheme="minorEastAsia" w:eastAsiaTheme="minorEastAsia" w:hAnsiTheme="minorEastAsia" w:hint="eastAsia"/>
                <w:kern w:val="0"/>
                <w:sz w:val="24"/>
                <w:szCs w:val="24"/>
              </w:rPr>
              <w:t>-</w:t>
            </w:r>
          </w:p>
        </w:tc>
        <w:tc>
          <w:tcPr>
            <w:tcW w:w="1843" w:type="dxa"/>
            <w:vAlign w:val="center"/>
          </w:tcPr>
          <w:p w:rsidR="00FA4EAB" w:rsidRPr="0085516D" w:rsidRDefault="00FA4EAB" w:rsidP="0085516D">
            <w:pPr>
              <w:spacing w:line="560" w:lineRule="exact"/>
              <w:rPr>
                <w:rFonts w:asciiTheme="minorEastAsia" w:eastAsiaTheme="minorEastAsia" w:hAnsiTheme="minorEastAsia"/>
                <w:kern w:val="0"/>
                <w:sz w:val="24"/>
                <w:szCs w:val="24"/>
              </w:rPr>
            </w:pPr>
            <w:r w:rsidRPr="0085516D">
              <w:rPr>
                <w:rFonts w:asciiTheme="minorEastAsia" w:eastAsiaTheme="minorEastAsia" w:hAnsiTheme="minorEastAsia" w:hint="eastAsia"/>
                <w:kern w:val="0"/>
                <w:sz w:val="24"/>
                <w:szCs w:val="24"/>
              </w:rPr>
              <w:t>-</w:t>
            </w:r>
          </w:p>
        </w:tc>
        <w:tc>
          <w:tcPr>
            <w:tcW w:w="1960" w:type="dxa"/>
            <w:vAlign w:val="center"/>
          </w:tcPr>
          <w:p w:rsidR="00FA4EAB" w:rsidRPr="0085516D" w:rsidRDefault="00FA4EAB" w:rsidP="0085516D">
            <w:pPr>
              <w:spacing w:line="560" w:lineRule="exact"/>
              <w:rPr>
                <w:rFonts w:asciiTheme="minorEastAsia" w:eastAsiaTheme="minorEastAsia" w:hAnsiTheme="minorEastAsia"/>
                <w:kern w:val="0"/>
                <w:sz w:val="24"/>
                <w:szCs w:val="24"/>
              </w:rPr>
            </w:pPr>
            <w:r w:rsidRPr="0085516D">
              <w:rPr>
                <w:rFonts w:asciiTheme="minorEastAsia" w:eastAsiaTheme="minorEastAsia" w:hAnsiTheme="minorEastAsia" w:hint="eastAsia"/>
                <w:kern w:val="0"/>
                <w:sz w:val="24"/>
                <w:szCs w:val="24"/>
              </w:rPr>
              <w:t>-</w:t>
            </w:r>
          </w:p>
        </w:tc>
      </w:tr>
    </w:tbl>
    <w:p w:rsidR="0009583A" w:rsidRDefault="00A129F2">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注：（1）根据法律法规和基金合同的相关规定，易方达基金管理有限公司（以下简称“本公司”）决定从2018年7月6日起暂停易方达天天理财货币市场基金（以下简称“本基金”） A 类</w:t>
      </w:r>
      <w:r w:rsidR="00152567">
        <w:rPr>
          <w:rFonts w:asciiTheme="minorEastAsia" w:eastAsiaTheme="minorEastAsia" w:hAnsiTheme="minorEastAsia" w:hint="eastAsia"/>
          <w:sz w:val="24"/>
          <w:szCs w:val="24"/>
        </w:rPr>
        <w:t>基金</w:t>
      </w:r>
      <w:r>
        <w:rPr>
          <w:rFonts w:asciiTheme="minorEastAsia" w:eastAsiaTheme="minorEastAsia" w:hAnsiTheme="minorEastAsia"/>
          <w:sz w:val="24"/>
          <w:szCs w:val="24"/>
        </w:rPr>
        <w:t>份额在本公司非直销销售机构的大额申购、大额转换转入业务。单日单个基金账户累计申购（含转换转入及定期定额投资，下同）本基金A 类</w:t>
      </w:r>
      <w:r w:rsidR="00152567">
        <w:rPr>
          <w:rFonts w:asciiTheme="minorEastAsia" w:eastAsiaTheme="minorEastAsia" w:hAnsiTheme="minorEastAsia" w:hint="eastAsia"/>
          <w:sz w:val="24"/>
          <w:szCs w:val="24"/>
        </w:rPr>
        <w:t>基金</w:t>
      </w:r>
      <w:r>
        <w:rPr>
          <w:rFonts w:asciiTheme="minorEastAsia" w:eastAsiaTheme="minorEastAsia" w:hAnsiTheme="minorEastAsia"/>
          <w:sz w:val="24"/>
          <w:szCs w:val="24"/>
        </w:rPr>
        <w:t>份额的金额不应超过3000万元（含）。如单日单个基金账户单笔申购本基金A 类</w:t>
      </w:r>
      <w:r w:rsidR="00152567">
        <w:rPr>
          <w:rFonts w:asciiTheme="minorEastAsia" w:eastAsiaTheme="minorEastAsia" w:hAnsiTheme="minorEastAsia" w:hint="eastAsia"/>
          <w:sz w:val="24"/>
          <w:szCs w:val="24"/>
        </w:rPr>
        <w:t>基金</w:t>
      </w:r>
      <w:r>
        <w:rPr>
          <w:rFonts w:asciiTheme="minorEastAsia" w:eastAsiaTheme="minorEastAsia" w:hAnsiTheme="minorEastAsia"/>
          <w:sz w:val="24"/>
          <w:szCs w:val="24"/>
        </w:rPr>
        <w:t>份额的金额超过3000万元（不含），则3000万元确认申购成功，超过3000万元（不含）的部分将确认失败；如单日单个基金账户多笔累计申购本基金A 类</w:t>
      </w:r>
      <w:r w:rsidR="00152567">
        <w:rPr>
          <w:rFonts w:asciiTheme="minorEastAsia" w:eastAsiaTheme="minorEastAsia" w:hAnsiTheme="minorEastAsia" w:hint="eastAsia"/>
          <w:sz w:val="24"/>
          <w:szCs w:val="24"/>
        </w:rPr>
        <w:t>基金</w:t>
      </w:r>
      <w:r>
        <w:rPr>
          <w:rFonts w:asciiTheme="minorEastAsia" w:eastAsiaTheme="minorEastAsia" w:hAnsiTheme="minorEastAsia"/>
          <w:sz w:val="24"/>
          <w:szCs w:val="24"/>
        </w:rPr>
        <w:t>份额的金额超过3000万元（不含），则对该类基金份额的申请按照申请金额从大到小排序，基金管理人将逐笔累加至不超过3000万元（含）限额的申请确认成功，该类份额其余申请金额确认失败。</w:t>
      </w:r>
    </w:p>
    <w:p w:rsidR="0009583A" w:rsidRDefault="00A129F2">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（2）从2018年7月6日起，本基金A类</w:t>
      </w:r>
      <w:r w:rsidR="00152567">
        <w:rPr>
          <w:rFonts w:asciiTheme="minorEastAsia" w:eastAsiaTheme="minorEastAsia" w:hAnsiTheme="minorEastAsia" w:hint="eastAsia"/>
          <w:sz w:val="24"/>
          <w:szCs w:val="24"/>
        </w:rPr>
        <w:t>基金</w:t>
      </w:r>
      <w:r>
        <w:rPr>
          <w:rFonts w:asciiTheme="minorEastAsia" w:eastAsiaTheme="minorEastAsia" w:hAnsiTheme="minorEastAsia"/>
          <w:sz w:val="24"/>
          <w:szCs w:val="24"/>
        </w:rPr>
        <w:t>份额在本公司网上直销系统暂停大额申购、大额转换转入业务，单日单个基金账户累计申购（含转换转入及定期定额投资）本基金A 类</w:t>
      </w:r>
      <w:r w:rsidR="00152567">
        <w:rPr>
          <w:rFonts w:asciiTheme="minorEastAsia" w:eastAsiaTheme="minorEastAsia" w:hAnsiTheme="minorEastAsia" w:hint="eastAsia"/>
          <w:sz w:val="24"/>
          <w:szCs w:val="24"/>
        </w:rPr>
        <w:t>基金</w:t>
      </w:r>
      <w:r>
        <w:rPr>
          <w:rFonts w:asciiTheme="minorEastAsia" w:eastAsiaTheme="minorEastAsia" w:hAnsiTheme="minorEastAsia"/>
          <w:sz w:val="24"/>
          <w:szCs w:val="24"/>
        </w:rPr>
        <w:t>份额的金额不应超过3000万元（含）。</w:t>
      </w:r>
      <w:r w:rsidR="00B22D55">
        <w:rPr>
          <w:rFonts w:asciiTheme="minorEastAsia" w:eastAsiaTheme="minorEastAsia" w:hAnsiTheme="minorEastAsia" w:hint="eastAsia"/>
          <w:kern w:val="0"/>
          <w:sz w:val="24"/>
          <w:szCs w:val="24"/>
        </w:rPr>
        <w:t>本基金A类基金份额仍暂停在本公司官方网站（www.efunds.com.cn）机构客户的申购、转换转入业务，恢复办理申购、转换转入业务的具体时间将另行公告。</w:t>
      </w:r>
    </w:p>
    <w:p w:rsidR="00D327FA" w:rsidRPr="0038655C" w:rsidRDefault="0036784E" w:rsidP="00E34923">
      <w:pPr>
        <w:spacing w:line="360" w:lineRule="auto"/>
        <w:rPr>
          <w:rFonts w:asciiTheme="minorEastAsia" w:eastAsiaTheme="minorEastAsia" w:hAnsiTheme="minorEastAsia"/>
          <w:sz w:val="24"/>
          <w:szCs w:val="24"/>
        </w:rPr>
      </w:pPr>
      <w:r w:rsidRPr="0038655C">
        <w:rPr>
          <w:rFonts w:asciiTheme="minorEastAsia" w:eastAsiaTheme="minorEastAsia" w:hAnsiTheme="minorEastAsia"/>
          <w:sz w:val="24"/>
          <w:szCs w:val="24"/>
        </w:rPr>
        <w:t>（3）本基金A类</w:t>
      </w:r>
      <w:r w:rsidR="00152567">
        <w:rPr>
          <w:rFonts w:asciiTheme="minorEastAsia" w:eastAsiaTheme="minorEastAsia" w:hAnsiTheme="minorEastAsia" w:hint="eastAsia"/>
          <w:sz w:val="24"/>
          <w:szCs w:val="24"/>
        </w:rPr>
        <w:t>基金</w:t>
      </w:r>
      <w:r w:rsidRPr="0038655C">
        <w:rPr>
          <w:rFonts w:asciiTheme="minorEastAsia" w:eastAsiaTheme="minorEastAsia" w:hAnsiTheme="minorEastAsia"/>
          <w:sz w:val="24"/>
          <w:szCs w:val="24"/>
        </w:rPr>
        <w:t>份额在本公司直销中心仍然接受办理申购和转换转入业务，但如果单日单个基金账户累计申购和转换转入本基金 A 类</w:t>
      </w:r>
      <w:r w:rsidR="00152567">
        <w:rPr>
          <w:rFonts w:asciiTheme="minorEastAsia" w:eastAsiaTheme="minorEastAsia" w:hAnsiTheme="minorEastAsia" w:hint="eastAsia"/>
          <w:sz w:val="24"/>
          <w:szCs w:val="24"/>
        </w:rPr>
        <w:t>基金</w:t>
      </w:r>
      <w:r w:rsidRPr="0038655C">
        <w:rPr>
          <w:rFonts w:asciiTheme="minorEastAsia" w:eastAsiaTheme="minorEastAsia" w:hAnsiTheme="minorEastAsia"/>
          <w:sz w:val="24"/>
          <w:szCs w:val="24"/>
        </w:rPr>
        <w:t>份额的金额超过3000 万元（不含），本基金有权根据保护基金份额持有人利益的原则全部或部分拒绝该类份额的申请。</w:t>
      </w:r>
    </w:p>
    <w:p w:rsidR="00D327FA" w:rsidRPr="0038655C" w:rsidRDefault="00D327FA" w:rsidP="00D327FA">
      <w:pPr>
        <w:pStyle w:val="2"/>
        <w:spacing w:line="560" w:lineRule="exact"/>
        <w:rPr>
          <w:rFonts w:asciiTheme="minorEastAsia" w:eastAsiaTheme="minorEastAsia" w:hAnsiTheme="minorEastAsia"/>
          <w:bCs w:val="0"/>
          <w:color w:val="000000"/>
          <w:sz w:val="24"/>
          <w:szCs w:val="24"/>
        </w:rPr>
      </w:pPr>
      <w:bookmarkStart w:id="2" w:name="_Toc275961406"/>
      <w:r w:rsidRPr="0038655C">
        <w:rPr>
          <w:rFonts w:asciiTheme="minorEastAsia" w:eastAsiaTheme="minorEastAsia" w:hAnsiTheme="minorEastAsia"/>
          <w:bCs w:val="0"/>
          <w:color w:val="000000"/>
          <w:sz w:val="24"/>
          <w:szCs w:val="24"/>
        </w:rPr>
        <w:t>2其他需要提示的事项</w:t>
      </w:r>
      <w:bookmarkEnd w:id="2"/>
    </w:p>
    <w:p w:rsidR="0009583A" w:rsidRDefault="00A129F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如有疑问，请拨打本公司客户服务热线400 881 8088（免长途话费），或登陆本公司网站www.efunds.com.cn获取相关信息。</w:t>
      </w:r>
    </w:p>
    <w:p w:rsidR="0009583A" w:rsidRDefault="00A129F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特此公告。</w:t>
      </w:r>
    </w:p>
    <w:p w:rsidR="0009583A" w:rsidRDefault="00A129F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易方达基金管理有限公司</w:t>
      </w:r>
    </w:p>
    <w:p w:rsidR="00D327FA" w:rsidRPr="0038655C" w:rsidRDefault="00770DB7" w:rsidP="00E34923">
      <w:pPr>
        <w:spacing w:line="360" w:lineRule="auto"/>
        <w:ind w:firstLineChars="200" w:firstLine="480"/>
        <w:rPr>
          <w:rFonts w:asciiTheme="minorEastAsia" w:eastAsiaTheme="minorEastAsia" w:hAnsiTheme="minorEastAsia"/>
          <w:sz w:val="24"/>
          <w:szCs w:val="24"/>
        </w:rPr>
      </w:pPr>
      <w:r w:rsidRPr="0038655C">
        <w:rPr>
          <w:rFonts w:asciiTheme="minorEastAsia" w:eastAsiaTheme="minorEastAsia" w:hAnsiTheme="minorEastAsia"/>
          <w:sz w:val="24"/>
          <w:szCs w:val="24"/>
        </w:rPr>
        <w:t xml:space="preserve">                                            2018年7月5日</w:t>
      </w:r>
    </w:p>
    <w:p w:rsidR="00364C2A" w:rsidRPr="0038655C" w:rsidRDefault="000367CB">
      <w:pPr>
        <w:rPr>
          <w:rFonts w:asciiTheme="minorEastAsia" w:eastAsiaTheme="minorEastAsia" w:hAnsiTheme="minorEastAsia"/>
          <w:sz w:val="24"/>
          <w:szCs w:val="24"/>
        </w:rPr>
      </w:pPr>
    </w:p>
    <w:sectPr w:rsidR="00364C2A" w:rsidRPr="0038655C" w:rsidSect="00956B0F">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7CB" w:rsidRDefault="000367CB" w:rsidP="00D327FA">
      <w:r>
        <w:separator/>
      </w:r>
    </w:p>
  </w:endnote>
  <w:endnote w:type="continuationSeparator" w:id="0">
    <w:p w:rsidR="000367CB" w:rsidRDefault="000367CB"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7CB" w:rsidRDefault="000367CB" w:rsidP="00D327FA">
      <w:r>
        <w:separator/>
      </w:r>
    </w:p>
  </w:footnote>
  <w:footnote w:type="continuationSeparator" w:id="0">
    <w:p w:rsidR="000367CB" w:rsidRDefault="000367CB"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154F5"/>
    <w:rsid w:val="0003371C"/>
    <w:rsid w:val="000367CB"/>
    <w:rsid w:val="00041353"/>
    <w:rsid w:val="0009583A"/>
    <w:rsid w:val="000A046B"/>
    <w:rsid w:val="000B34D7"/>
    <w:rsid w:val="000E4CBF"/>
    <w:rsid w:val="000F53E8"/>
    <w:rsid w:val="00110A8B"/>
    <w:rsid w:val="00111E20"/>
    <w:rsid w:val="00152567"/>
    <w:rsid w:val="00152AD1"/>
    <w:rsid w:val="00180DA3"/>
    <w:rsid w:val="00184C57"/>
    <w:rsid w:val="001B4F9F"/>
    <w:rsid w:val="001B5C6A"/>
    <w:rsid w:val="00245724"/>
    <w:rsid w:val="00252A9F"/>
    <w:rsid w:val="002935EF"/>
    <w:rsid w:val="00297148"/>
    <w:rsid w:val="002F4E16"/>
    <w:rsid w:val="002F7241"/>
    <w:rsid w:val="00327DA7"/>
    <w:rsid w:val="00333CE9"/>
    <w:rsid w:val="0036784E"/>
    <w:rsid w:val="00373D0D"/>
    <w:rsid w:val="0038655C"/>
    <w:rsid w:val="003E0D7B"/>
    <w:rsid w:val="003F54D8"/>
    <w:rsid w:val="00404DFB"/>
    <w:rsid w:val="004533C9"/>
    <w:rsid w:val="004966BA"/>
    <w:rsid w:val="004D6346"/>
    <w:rsid w:val="004F0521"/>
    <w:rsid w:val="004F51E8"/>
    <w:rsid w:val="00513887"/>
    <w:rsid w:val="005147CE"/>
    <w:rsid w:val="005A72F2"/>
    <w:rsid w:val="005C1877"/>
    <w:rsid w:val="005E27E7"/>
    <w:rsid w:val="005F7E11"/>
    <w:rsid w:val="00646522"/>
    <w:rsid w:val="006B1120"/>
    <w:rsid w:val="006D4CAA"/>
    <w:rsid w:val="0073228C"/>
    <w:rsid w:val="00751FA8"/>
    <w:rsid w:val="00755B5A"/>
    <w:rsid w:val="00770DB7"/>
    <w:rsid w:val="007B1D31"/>
    <w:rsid w:val="0082629A"/>
    <w:rsid w:val="008472DB"/>
    <w:rsid w:val="0085516D"/>
    <w:rsid w:val="008709BC"/>
    <w:rsid w:val="008712F5"/>
    <w:rsid w:val="00880FBD"/>
    <w:rsid w:val="00892A20"/>
    <w:rsid w:val="008A791C"/>
    <w:rsid w:val="00956B0F"/>
    <w:rsid w:val="00977C33"/>
    <w:rsid w:val="009C5858"/>
    <w:rsid w:val="00A0689F"/>
    <w:rsid w:val="00A129F2"/>
    <w:rsid w:val="00A1550E"/>
    <w:rsid w:val="00A67971"/>
    <w:rsid w:val="00A92DA8"/>
    <w:rsid w:val="00A97A6C"/>
    <w:rsid w:val="00B101F7"/>
    <w:rsid w:val="00B22D55"/>
    <w:rsid w:val="00B87CEF"/>
    <w:rsid w:val="00B97304"/>
    <w:rsid w:val="00BD601B"/>
    <w:rsid w:val="00BE2591"/>
    <w:rsid w:val="00C2123B"/>
    <w:rsid w:val="00C46139"/>
    <w:rsid w:val="00C54AD2"/>
    <w:rsid w:val="00CD25B1"/>
    <w:rsid w:val="00CE7919"/>
    <w:rsid w:val="00CF3EB6"/>
    <w:rsid w:val="00D00D5D"/>
    <w:rsid w:val="00D04158"/>
    <w:rsid w:val="00D114B7"/>
    <w:rsid w:val="00D327FA"/>
    <w:rsid w:val="00D62FCD"/>
    <w:rsid w:val="00E0230C"/>
    <w:rsid w:val="00E34845"/>
    <w:rsid w:val="00E34923"/>
    <w:rsid w:val="00E5525D"/>
    <w:rsid w:val="00E74E25"/>
    <w:rsid w:val="00EE1823"/>
    <w:rsid w:val="00F64447"/>
    <w:rsid w:val="00F912C7"/>
    <w:rsid w:val="00FA4EAB"/>
    <w:rsid w:val="00FA5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696A26-AD5E-432C-90BD-3599F74E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206</Words>
  <Characters>1175</Characters>
  <Application>Microsoft Office Word</Application>
  <DocSecurity>0</DocSecurity>
  <Lines>9</Lines>
  <Paragraphs>2</Paragraphs>
  <ScaleCrop>false</ScaleCrop>
  <Company>微软中国</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罗舒然</cp:lastModifiedBy>
  <cp:revision>3</cp:revision>
  <dcterms:created xsi:type="dcterms:W3CDTF">2018-07-03T08:09:00Z</dcterms:created>
  <dcterms:modified xsi:type="dcterms:W3CDTF">2018-07-04T11:42:00Z</dcterms:modified>
</cp:coreProperties>
</file>